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B26A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平顶山市应急管理局不予行政处罚事项清单</w:t>
      </w:r>
      <w:r>
        <w:rPr>
          <w:rFonts w:hint="eastAsia" w:ascii="方正小标宋_GBK" w:hAnsi="方正小标宋_GBK" w:eastAsia="方正小标宋_GBK" w:cs="方正小标宋_GBK"/>
          <w:color w:val="000000"/>
          <w:kern w:val="0"/>
          <w:sz w:val="44"/>
          <w:szCs w:val="44"/>
          <w:lang w:val="en-US" w:eastAsia="zh-CN" w:bidi="ar"/>
        </w:rPr>
        <w:t>（草案征求意见稿）</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604"/>
        <w:gridCol w:w="2077"/>
        <w:gridCol w:w="1961"/>
        <w:gridCol w:w="4166"/>
        <w:gridCol w:w="3884"/>
      </w:tblGrid>
      <w:tr w14:paraId="1BC5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9" w:type="dxa"/>
            <w:vAlign w:val="center"/>
          </w:tcPr>
          <w:p w14:paraId="5312C774">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序号</w:t>
            </w:r>
          </w:p>
        </w:tc>
        <w:tc>
          <w:tcPr>
            <w:tcW w:w="1604" w:type="dxa"/>
            <w:vAlign w:val="center"/>
          </w:tcPr>
          <w:p w14:paraId="0C710BD4">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事项名称</w:t>
            </w:r>
          </w:p>
        </w:tc>
        <w:tc>
          <w:tcPr>
            <w:tcW w:w="2077" w:type="dxa"/>
            <w:vAlign w:val="center"/>
          </w:tcPr>
          <w:p w14:paraId="79624B93">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适用条件</w:t>
            </w:r>
          </w:p>
        </w:tc>
        <w:tc>
          <w:tcPr>
            <w:tcW w:w="1961" w:type="dxa"/>
            <w:vAlign w:val="center"/>
          </w:tcPr>
          <w:p w14:paraId="31CA1B78">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适用情形</w:t>
            </w:r>
          </w:p>
        </w:tc>
        <w:tc>
          <w:tcPr>
            <w:tcW w:w="4166" w:type="dxa"/>
            <w:vAlign w:val="center"/>
          </w:tcPr>
          <w:p w14:paraId="6B3ABCC4">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法律依据</w:t>
            </w:r>
          </w:p>
        </w:tc>
        <w:tc>
          <w:tcPr>
            <w:tcW w:w="3884" w:type="dxa"/>
            <w:vAlign w:val="center"/>
          </w:tcPr>
          <w:p w14:paraId="1469C6C9">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处罚依据</w:t>
            </w:r>
          </w:p>
        </w:tc>
      </w:tr>
      <w:tr w14:paraId="2C8D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9" w:hRule="atLeast"/>
          <w:jc w:val="center"/>
        </w:trPr>
        <w:tc>
          <w:tcPr>
            <w:tcW w:w="829" w:type="dxa"/>
            <w:vAlign w:val="center"/>
          </w:tcPr>
          <w:p w14:paraId="5D36D9F6">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1</w:t>
            </w:r>
          </w:p>
        </w:tc>
        <w:tc>
          <w:tcPr>
            <w:tcW w:w="1604" w:type="dxa"/>
            <w:vAlign w:val="center"/>
          </w:tcPr>
          <w:p w14:paraId="0B2BB290">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lang w:val="en-US" w:eastAsia="zh-CN" w:bidi="ar"/>
              </w:rPr>
              <w:t>已经取得危险化学品经营许可证的企业变更企业名称、主要负责人、注册地址，未依照规定申请变更的。</w:t>
            </w:r>
          </w:p>
        </w:tc>
        <w:tc>
          <w:tcPr>
            <w:tcW w:w="2077" w:type="dxa"/>
            <w:vAlign w:val="center"/>
          </w:tcPr>
          <w:p w14:paraId="362FFC16">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（一）初次违法。</w:t>
            </w:r>
          </w:p>
          <w:p w14:paraId="162E3402">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（二）危害后果轻微并及时改正。</w:t>
            </w:r>
          </w:p>
          <w:p w14:paraId="086844E1">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（三）3年内未发生过人员死亡的生产安全事故。</w:t>
            </w:r>
          </w:p>
          <w:p w14:paraId="2D4B1CE7">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（四）未被列入严重失信主体名单。</w:t>
            </w:r>
          </w:p>
        </w:tc>
        <w:tc>
          <w:tcPr>
            <w:tcW w:w="1961" w:type="dxa"/>
            <w:vAlign w:val="center"/>
          </w:tcPr>
          <w:p w14:paraId="275A7C18">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lang w:val="en-US" w:eastAsia="zh-CN" w:bidi="ar"/>
              </w:rPr>
              <w:t>危险化学品经营企业变更企业名称、主要负责人或者注册地址，未在变更之日起20个工作日内提出变更申请，但在变更之日起30个工作日内提出变更申请的。</w:t>
            </w:r>
          </w:p>
        </w:tc>
        <w:tc>
          <w:tcPr>
            <w:tcW w:w="4166" w:type="dxa"/>
            <w:vAlign w:val="center"/>
          </w:tcPr>
          <w:p w14:paraId="2ABDEDE4">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lang w:val="en-US" w:eastAsia="zh-CN" w:bidi="ar"/>
              </w:rPr>
              <w:t>《危险化学品经营许可证管理办法》第十四条：已经取得经营许可证的企业变更企业名称、主要负责人、注册地址或者危险化学品储存设施及其监控措施的，应当自变更之日起20个工作日内，向本办法第五条规定的发证机关提出书面变更申请，并提交下列文件、资料：（一）经营许可证变更申请书；......（五）变更后的危险化学品储存设施及其监控措施的专项安全评价报告。</w:t>
            </w:r>
          </w:p>
        </w:tc>
        <w:tc>
          <w:tcPr>
            <w:tcW w:w="3884" w:type="dxa"/>
            <w:vAlign w:val="center"/>
          </w:tcPr>
          <w:p w14:paraId="391E9386">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lang w:val="en-US" w:eastAsia="zh-CN" w:bidi="ar"/>
              </w:rPr>
              <w:t>《危险化学品经营许可证管理办法》第三十三条：已经取得经营许可证的企业出现本办法第十四条、第十六条规定的情形之一，未依照本办法的规定申请变更的，责令限期改正，处1万元以下的罚款；逾期仍不申请变更的，处1万元以上3万元以下的罚款。</w:t>
            </w:r>
          </w:p>
        </w:tc>
      </w:tr>
      <w:tr w14:paraId="0130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Align w:val="center"/>
          </w:tcPr>
          <w:p w14:paraId="7887D40F">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2</w:t>
            </w:r>
          </w:p>
        </w:tc>
        <w:tc>
          <w:tcPr>
            <w:tcW w:w="1604" w:type="dxa"/>
            <w:vAlign w:val="center"/>
          </w:tcPr>
          <w:p w14:paraId="454A6E37">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生产经营单位未将事故隐患排查治理情况向从业人员通报。</w:t>
            </w:r>
          </w:p>
        </w:tc>
        <w:tc>
          <w:tcPr>
            <w:tcW w:w="2077" w:type="dxa"/>
            <w:vAlign w:val="center"/>
          </w:tcPr>
          <w:p w14:paraId="7C08856A">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（一）初次违法。</w:t>
            </w:r>
          </w:p>
          <w:p w14:paraId="6FEA2A5C">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（二）危害后果轻微并及时改正。</w:t>
            </w:r>
          </w:p>
          <w:p w14:paraId="36BC0C5D">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（三）3年内未发生过人员死亡的生产安全事故。</w:t>
            </w:r>
          </w:p>
          <w:p w14:paraId="4049D2F6">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（四）未被列入严重失信主体名单。</w:t>
            </w:r>
          </w:p>
        </w:tc>
        <w:tc>
          <w:tcPr>
            <w:tcW w:w="1961" w:type="dxa"/>
            <w:vAlign w:val="center"/>
          </w:tcPr>
          <w:p w14:paraId="7237D0B4">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生产经营单位已按规定开展事故隐患排查治理，但未向从业人员通报。</w:t>
            </w:r>
          </w:p>
        </w:tc>
        <w:tc>
          <w:tcPr>
            <w:tcW w:w="4166" w:type="dxa"/>
            <w:vAlign w:val="center"/>
          </w:tcPr>
          <w:p w14:paraId="30A22CA4">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884" w:type="dxa"/>
            <w:vAlign w:val="center"/>
          </w:tcPr>
          <w:p w14:paraId="582FE957">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中华人民共和国安全生产法》第九十七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tc>
      </w:tr>
    </w:tbl>
    <w:p w14:paraId="0D960418">
      <w:pPr>
        <w:jc w:val="center"/>
        <w:rPr>
          <w:rFonts w:hint="eastAsia"/>
          <w:lang w:val="en-US" w:eastAsia="zh-CN"/>
        </w:rPr>
      </w:pPr>
      <w:bookmarkStart w:id="0" w:name="_GoBack"/>
      <w:bookmarkEnd w:id="0"/>
    </w:p>
    <w:sectPr>
      <w:footerReference r:id="rId3" w:type="default"/>
      <w:pgSz w:w="16838" w:h="11906" w:orient="landscape"/>
      <w:pgMar w:top="1349" w:right="1213" w:bottom="1349" w:left="121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552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03B1B">
                          <w:pPr>
                            <w:pStyle w:val="2"/>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003B1B">
                    <w:pPr>
                      <w:pStyle w:val="2"/>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74725"/>
    <w:rsid w:val="11E626AA"/>
    <w:rsid w:val="137E30B1"/>
    <w:rsid w:val="1F300517"/>
    <w:rsid w:val="28CA01D8"/>
    <w:rsid w:val="3CCA2A44"/>
    <w:rsid w:val="3F903F59"/>
    <w:rsid w:val="41E22D35"/>
    <w:rsid w:val="486024AF"/>
    <w:rsid w:val="536E5A80"/>
    <w:rsid w:val="564512F0"/>
    <w:rsid w:val="62E96ED1"/>
    <w:rsid w:val="64900E0A"/>
    <w:rsid w:val="6E674725"/>
    <w:rsid w:val="7A570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2714</Words>
  <Characters>2722</Characters>
  <Lines>0</Lines>
  <Paragraphs>0</Paragraphs>
  <TotalTime>12</TotalTime>
  <ScaleCrop>false</ScaleCrop>
  <LinksUpToDate>false</LinksUpToDate>
  <CharactersWithSpaces>2724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2026-05-29T02:35:00Z</dcterms:created>
  <dc:creator>WPS_1726307058</dc:creator>
  <cp:lastModifiedBy>WPS_1726307058</cp:lastModifiedBy>
  <cp:lastPrinted>2026-05-29T08:13:00Z</cp:lastPrinted>
  <dcterms:modified xsi:type="dcterms:W3CDTF">2026-06-01T02:15:57Z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D0D586FF42D24FCCB793656AC6D3FCFB_13</vt:lpwstr>
  </property>
  <property fmtid="{D5CDD505-2E9C-101B-9397-08002B2CF9AE}" pid="4" name="KSOTemplateDocerSaveRecord">
    <vt:lpwstr>eyJoZGlkIjoiYzczYjg3MDBmYmVlODAzNmY0MGZkMDU1MDZhZWQyMTIiLCJ1c2VySWQiOiIxNjM0NDk4MDg1In0=</vt:lpwstr>
  </property>
</Properties>
</file>