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853" w:tblpY="36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4"/>
        <w:gridCol w:w="6385"/>
      </w:tblGrid>
      <w:tr w14:paraId="0602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0B2FFA5B">
            <w:pPr>
              <w:jc w:val="center"/>
              <w:rPr>
                <w:rFonts w:hint="eastAsia" w:ascii="仿宋_GB2312" w:hAnsi="仿宋_GB2312" w:eastAsia="仿宋_GB2312" w:cs="仿宋_GB2312"/>
                <w:color w:val="auto"/>
              </w:rPr>
            </w:pPr>
            <w:bookmarkStart w:id="0" w:name="_GoBack"/>
            <w:bookmarkEnd w:id="0"/>
            <w:r>
              <w:rPr>
                <w:rFonts w:hint="eastAsia" w:ascii="仿宋_GB2312" w:hAnsi="仿宋_GB2312" w:eastAsia="仿宋_GB2312" w:cs="仿宋_GB2312"/>
                <w:color w:val="auto"/>
              </w:rPr>
              <w:t>当事人</w:t>
            </w:r>
          </w:p>
        </w:tc>
        <w:tc>
          <w:tcPr>
            <w:tcW w:w="6385" w:type="dxa"/>
            <w:noWrap w:val="0"/>
            <w:vAlign w:val="center"/>
          </w:tcPr>
          <w:p w14:paraId="45114861">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平顶山天安煤业股份有限公司十一矿</w:t>
            </w:r>
          </w:p>
        </w:tc>
      </w:tr>
      <w:tr w14:paraId="1EEA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64724AA7">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社会信用代码</w:t>
            </w:r>
          </w:p>
        </w:tc>
        <w:tc>
          <w:tcPr>
            <w:tcW w:w="6385" w:type="dxa"/>
            <w:noWrap w:val="0"/>
            <w:vAlign w:val="center"/>
          </w:tcPr>
          <w:p w14:paraId="41DC718D">
            <w:pPr>
              <w:jc w:val="center"/>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914104007407149221</w:t>
            </w:r>
          </w:p>
        </w:tc>
      </w:tr>
      <w:tr w14:paraId="32AC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2054" w:type="dxa"/>
            <w:noWrap w:val="0"/>
            <w:vAlign w:val="center"/>
          </w:tcPr>
          <w:p w14:paraId="1A0B4319">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案件名称</w:t>
            </w:r>
          </w:p>
        </w:tc>
        <w:tc>
          <w:tcPr>
            <w:tcW w:w="6385" w:type="dxa"/>
            <w:noWrap w:val="0"/>
            <w:vAlign w:val="center"/>
          </w:tcPr>
          <w:p w14:paraId="05FFBB8B">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平顶山天安煤业股份有限公司十一矿涉嫌未对安全设备进行经常性维护、保养和定期检测、未采取措施消除事故隐患等违法违规案</w:t>
            </w:r>
          </w:p>
        </w:tc>
      </w:tr>
      <w:tr w14:paraId="57F1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0EB2DDFD">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处罚决定书文号</w:t>
            </w:r>
          </w:p>
        </w:tc>
        <w:tc>
          <w:tcPr>
            <w:tcW w:w="6385" w:type="dxa"/>
            <w:noWrap w:val="0"/>
            <w:vAlign w:val="center"/>
          </w:tcPr>
          <w:p w14:paraId="3C4E7551">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豫（平）煤监管罚〔2026〕110013号</w:t>
            </w:r>
          </w:p>
        </w:tc>
      </w:tr>
      <w:tr w14:paraId="26B9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2054" w:type="dxa"/>
            <w:noWrap w:val="0"/>
            <w:vAlign w:val="center"/>
          </w:tcPr>
          <w:p w14:paraId="183BD94E">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处罚决定时间</w:t>
            </w:r>
          </w:p>
        </w:tc>
        <w:tc>
          <w:tcPr>
            <w:tcW w:w="6385" w:type="dxa"/>
            <w:noWrap w:val="0"/>
            <w:vAlign w:val="center"/>
          </w:tcPr>
          <w:p w14:paraId="609ADB30">
            <w:pPr>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2026年8月7日</w:t>
            </w:r>
          </w:p>
        </w:tc>
      </w:tr>
      <w:tr w14:paraId="269B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2054" w:type="dxa"/>
            <w:noWrap w:val="0"/>
            <w:vAlign w:val="center"/>
          </w:tcPr>
          <w:p w14:paraId="2DB4973C">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处罚结果</w:t>
            </w:r>
          </w:p>
        </w:tc>
        <w:tc>
          <w:tcPr>
            <w:tcW w:w="6385" w:type="dxa"/>
            <w:noWrap w:val="0"/>
            <w:vAlign w:val="center"/>
          </w:tcPr>
          <w:p w14:paraId="5B3DC2C6">
            <w:pPr>
              <w:jc w:val="both"/>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责令限期整改，决定对平顶山天安煤业股份有限公司十一矿处人民币陆万叁仟元整（¥63,000.00）罚款的行政处罚。</w:t>
            </w:r>
          </w:p>
        </w:tc>
      </w:tr>
      <w:tr w14:paraId="25EF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trPr>
        <w:tc>
          <w:tcPr>
            <w:tcW w:w="2054" w:type="dxa"/>
            <w:noWrap w:val="0"/>
            <w:vAlign w:val="center"/>
          </w:tcPr>
          <w:p w14:paraId="56A31112">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处罚事由</w:t>
            </w:r>
          </w:p>
        </w:tc>
        <w:tc>
          <w:tcPr>
            <w:tcW w:w="6385" w:type="dxa"/>
            <w:noWrap w:val="0"/>
            <w:vAlign w:val="center"/>
          </w:tcPr>
          <w:p w14:paraId="598522EA">
            <w:pPr>
              <w:jc w:val="both"/>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2026年5月14日至15日，平顶山市应急管理局依法对平顶山天安煤业股份有限公司十一矿进行了瓦斯防治行政检查，检查前出示了执法证件，告知了其配合行政检查的义务及享有陈述、申辩和申请回避的权利。本次检查中发现该单位存在19条问题，经梳理其中6条问题达到立案标准，这6条问题属于两类违法违规问题</w:t>
            </w:r>
            <w:r>
              <w:rPr>
                <w:rFonts w:hint="eastAsia" w:ascii="仿宋_GB2312" w:hAnsi="仿宋_GB2312" w:eastAsia="仿宋_GB2312" w:cs="仿宋_GB2312"/>
                <w:color w:val="auto"/>
                <w:kern w:val="2"/>
                <w:sz w:val="21"/>
                <w:szCs w:val="24"/>
                <w:lang w:val="en" w:eastAsia="zh-CN" w:bidi="ar-SA"/>
              </w:rPr>
              <w:t>（</w:t>
            </w:r>
            <w:r>
              <w:rPr>
                <w:rFonts w:hint="eastAsia" w:ascii="仿宋_GB2312" w:hAnsi="仿宋_GB2312" w:eastAsia="仿宋_GB2312" w:cs="仿宋_GB2312"/>
                <w:color w:val="auto"/>
                <w:kern w:val="2"/>
                <w:sz w:val="21"/>
                <w:szCs w:val="24"/>
                <w:lang w:val="en-US" w:eastAsia="zh-CN" w:bidi="ar-SA"/>
              </w:rPr>
              <w:t>2个处罚项</w:t>
            </w:r>
            <w:r>
              <w:rPr>
                <w:rFonts w:hint="eastAsia" w:ascii="仿宋_GB2312" w:hAnsi="仿宋_GB2312" w:eastAsia="仿宋_GB2312" w:cs="仿宋_GB2312"/>
                <w:color w:val="auto"/>
                <w:kern w:val="2"/>
                <w:sz w:val="21"/>
                <w:szCs w:val="24"/>
                <w:lang w:val="en" w:eastAsia="zh-CN" w:bidi="ar-SA"/>
              </w:rPr>
              <w:t>）。</w:t>
            </w:r>
          </w:p>
        </w:tc>
      </w:tr>
      <w:tr w14:paraId="4973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2054" w:type="dxa"/>
            <w:noWrap w:val="0"/>
            <w:vAlign w:val="center"/>
          </w:tcPr>
          <w:p w14:paraId="0E46DD40">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处罚依据</w:t>
            </w:r>
          </w:p>
        </w:tc>
        <w:tc>
          <w:tcPr>
            <w:tcW w:w="6385" w:type="dxa"/>
            <w:noWrap w:val="0"/>
            <w:vAlign w:val="center"/>
          </w:tcPr>
          <w:p w14:paraId="1956001B">
            <w:pPr>
              <w:pStyle w:val="2"/>
              <w:keepNext w:val="0"/>
              <w:keepLines w:val="0"/>
              <w:pageBreakBefore w:val="0"/>
              <w:kinsoku/>
              <w:wordWrap/>
              <w:overflowPunct/>
              <w:topLinePunct w:val="0"/>
              <w:autoSpaceDE/>
              <w:autoSpaceDN/>
              <w:bidi w:val="0"/>
              <w:adjustRightInd/>
              <w:snapToGrid/>
              <w:spacing w:line="460" w:lineRule="exact"/>
              <w:ind w:firstLine="420" w:firstLineChars="200"/>
              <w:jc w:val="both"/>
              <w:textAlignment w:val="auto"/>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《中华人民共和国安全生产法》</w:t>
            </w:r>
            <w:r>
              <w:rPr>
                <w:rFonts w:hint="default" w:ascii="仿宋_GB2312" w:hAnsi="仿宋_GB2312" w:eastAsia="仿宋_GB2312" w:cs="仿宋_GB2312"/>
                <w:color w:val="auto"/>
                <w:kern w:val="2"/>
                <w:sz w:val="21"/>
                <w:szCs w:val="24"/>
                <w:lang w:val="en-US" w:eastAsia="zh-CN" w:bidi="ar-SA"/>
              </w:rPr>
              <w:t>第一百零二条</w:t>
            </w:r>
          </w:p>
          <w:p w14:paraId="587FD4EC">
            <w:pPr>
              <w:pStyle w:val="2"/>
              <w:keepNext w:val="0"/>
              <w:keepLines w:val="0"/>
              <w:pageBreakBefore w:val="0"/>
              <w:kinsoku/>
              <w:wordWrap/>
              <w:overflowPunct/>
              <w:topLinePunct w:val="0"/>
              <w:autoSpaceDE/>
              <w:autoSpaceDN/>
              <w:bidi w:val="0"/>
              <w:adjustRightInd/>
              <w:snapToGrid/>
              <w:spacing w:line="460" w:lineRule="exact"/>
              <w:ind w:firstLine="420" w:firstLineChars="200"/>
              <w:jc w:val="both"/>
              <w:textAlignment w:val="auto"/>
              <w:rPr>
                <w:rFonts w:hint="eastAsia"/>
              </w:rPr>
            </w:pPr>
            <w:r>
              <w:rPr>
                <w:rFonts w:hint="eastAsia" w:ascii="仿宋_GB2312" w:hAnsi="仿宋_GB2312" w:eastAsia="仿宋_GB2312" w:cs="仿宋_GB2312"/>
                <w:color w:val="auto"/>
                <w:kern w:val="2"/>
                <w:sz w:val="21"/>
                <w:szCs w:val="24"/>
                <w:lang w:val="en-US" w:eastAsia="zh-CN" w:bidi="ar-SA"/>
              </w:rPr>
              <w:t>《中华人民共和国安全生产法》第九十九条</w:t>
            </w:r>
          </w:p>
        </w:tc>
      </w:tr>
      <w:tr w14:paraId="1FE3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6FAC9299">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救济渠道</w:t>
            </w:r>
          </w:p>
        </w:tc>
        <w:tc>
          <w:tcPr>
            <w:tcW w:w="6385" w:type="dxa"/>
            <w:noWrap w:val="0"/>
            <w:vAlign w:val="center"/>
          </w:tcPr>
          <w:p w14:paraId="7A57E282">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行政复议或行政诉讼</w:t>
            </w:r>
          </w:p>
        </w:tc>
      </w:tr>
      <w:tr w14:paraId="59E1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054" w:type="dxa"/>
            <w:noWrap w:val="0"/>
            <w:vAlign w:val="center"/>
          </w:tcPr>
          <w:p w14:paraId="3D390857">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其他</w:t>
            </w:r>
          </w:p>
        </w:tc>
        <w:tc>
          <w:tcPr>
            <w:tcW w:w="6385" w:type="dxa"/>
            <w:noWrap w:val="0"/>
            <w:vAlign w:val="center"/>
          </w:tcPr>
          <w:p w14:paraId="6FF2DA24">
            <w:pPr>
              <w:rPr>
                <w:rFonts w:hint="eastAsia" w:ascii="仿宋_GB2312" w:hAnsi="仿宋_GB2312" w:eastAsia="仿宋_GB2312" w:cs="仿宋_GB2312"/>
                <w:color w:val="auto"/>
              </w:rPr>
            </w:pPr>
          </w:p>
        </w:tc>
      </w:tr>
    </w:tbl>
    <w:p w14:paraId="6B15567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F75630"/>
    <w:rsid w:val="17FCB7CE"/>
    <w:rsid w:val="567A4051"/>
    <w:rsid w:val="59094E01"/>
    <w:rsid w:val="7DFF64AE"/>
    <w:rsid w:val="97FD23B7"/>
    <w:rsid w:val="B77D956E"/>
    <w:rsid w:val="BF3F762A"/>
    <w:rsid w:val="D92601A7"/>
    <w:rsid w:val="DBF75630"/>
    <w:rsid w:val="EFDDFE2F"/>
    <w:rsid w:val="F7F7CD77"/>
    <w:rsid w:val="FABD00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Body Text"/>
    <w:basedOn w:val="1"/>
    <w:next w:val="3"/>
    <w:qFormat/>
    <w:uiPriority w:val="0"/>
    <w:rPr>
      <w:rFonts w:ascii="宋体" w:hAnsi="宋体" w:eastAsia="宋体" w:cs="宋体"/>
      <w:sz w:val="32"/>
      <w:szCs w:val="32"/>
    </w:rPr>
  </w:style>
  <w:style w:type="paragraph" w:styleId="3">
    <w:name w:val="Body Text 2"/>
    <w:basedOn w:val="1"/>
    <w:unhideWhenUsed/>
    <w:qFormat/>
    <w:uiPriority w:val="0"/>
    <w:pPr>
      <w:spacing w:after="120" w:line="48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343</Words>
  <Characters>379</Characters>
  <Lines>0</Lines>
  <Paragraphs>0</Paragraphs>
  <TotalTime>0</TotalTime>
  <ScaleCrop>false</ScaleCrop>
  <LinksUpToDate>false</LinksUpToDate>
  <CharactersWithSpaces>380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2025-10-01T01:54:00Z</dcterms:created>
  <dc:creator>丁子</dc:creator>
  <cp:lastModifiedBy>A@T</cp:lastModifiedBy>
  <dcterms:modified xsi:type="dcterms:W3CDTF">2026-08-10T10:12:38Z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3F09F30F143139B19633796A6EAED502_43</vt:lpwstr>
  </property>
  <property fmtid="{D5CDD505-2E9C-101B-9397-08002B2CF9AE}" pid="4" name="KSOTemplateDocerSaveRecord">
    <vt:lpwstr>eyJoZGlkIjoiOTY4MWRkNjdlNDM0YzVjNzU2MDU3OTdhZGY5ZWFjOTAiLCJ1c2VySWQiOiI1NjAzOTI2MjIifQ==</vt:lpwstr>
  </property>
</Properties>
</file>